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0E2C9" w14:textId="7E85246B" w:rsidR="003528DD" w:rsidRPr="00C9689D" w:rsidRDefault="00072CD7" w:rsidP="003528DD">
      <w:pPr>
        <w:autoSpaceDE w:val="0"/>
        <w:autoSpaceDN w:val="0"/>
        <w:adjustRightInd w:val="0"/>
        <w:rPr>
          <w:rFonts w:asciiTheme="majorHAnsi" w:hAnsiTheme="majorHAnsi" w:cstheme="minorHAnsi"/>
        </w:rPr>
      </w:pPr>
      <w:r w:rsidRPr="00C9689D">
        <w:rPr>
          <w:rFonts w:asciiTheme="majorHAnsi" w:hAnsiTheme="majorHAnsi" w:cstheme="minorHAnsi"/>
          <w:noProof/>
          <w:sz w:val="22"/>
          <w:szCs w:val="22"/>
        </w:rPr>
        <w:drawing>
          <wp:anchor distT="0" distB="0" distL="114300" distR="114300" simplePos="0" relativeHeight="251658240" behindDoc="0" locked="0" layoutInCell="1" allowOverlap="1" wp14:anchorId="45BA9E92" wp14:editId="54D316A1">
            <wp:simplePos x="0" y="0"/>
            <wp:positionH relativeFrom="margin">
              <wp:align>right</wp:align>
            </wp:positionH>
            <wp:positionV relativeFrom="paragraph">
              <wp:posOffset>11430</wp:posOffset>
            </wp:positionV>
            <wp:extent cx="1932678" cy="1059752"/>
            <wp:effectExtent l="0" t="0" r="0" b="7620"/>
            <wp:wrapThrough wrapText="bothSides">
              <wp:wrapPolygon edited="0">
                <wp:start x="0" y="0"/>
                <wp:lineTo x="0" y="21367"/>
                <wp:lineTo x="21295" y="21367"/>
                <wp:lineTo x="2129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32678" cy="1059752"/>
                    </a:xfrm>
                    <a:prstGeom prst="rect">
                      <a:avLst/>
                    </a:prstGeom>
                    <a:noFill/>
                    <a:ln>
                      <a:noFill/>
                    </a:ln>
                  </pic:spPr>
                </pic:pic>
              </a:graphicData>
            </a:graphic>
          </wp:anchor>
        </w:drawing>
      </w:r>
    </w:p>
    <w:p w14:paraId="0F691569" w14:textId="6C11B622" w:rsidR="003528DD" w:rsidRPr="00C9689D" w:rsidRDefault="00E21662" w:rsidP="003528DD">
      <w:pPr>
        <w:autoSpaceDE w:val="0"/>
        <w:autoSpaceDN w:val="0"/>
        <w:adjustRightInd w:val="0"/>
        <w:rPr>
          <w:rFonts w:asciiTheme="majorHAnsi" w:hAnsiTheme="majorHAnsi" w:cstheme="minorHAnsi"/>
        </w:rPr>
      </w:pPr>
    </w:p>
    <w:p w14:paraId="2D58B060" w14:textId="77777777" w:rsidR="00C9689D" w:rsidRPr="00C9689D" w:rsidRDefault="00C9689D" w:rsidP="003528DD">
      <w:pPr>
        <w:autoSpaceDE w:val="0"/>
        <w:autoSpaceDN w:val="0"/>
        <w:adjustRightInd w:val="0"/>
        <w:rPr>
          <w:rFonts w:asciiTheme="majorHAnsi" w:hAnsiTheme="majorHAnsi" w:cstheme="minorHAnsi"/>
          <w:sz w:val="22"/>
          <w:szCs w:val="22"/>
        </w:rPr>
      </w:pPr>
    </w:p>
    <w:p w14:paraId="628A4588" w14:textId="77777777" w:rsidR="00C9689D" w:rsidRPr="00C9689D" w:rsidRDefault="00C9689D" w:rsidP="003528DD">
      <w:pPr>
        <w:autoSpaceDE w:val="0"/>
        <w:autoSpaceDN w:val="0"/>
        <w:adjustRightInd w:val="0"/>
        <w:rPr>
          <w:rFonts w:asciiTheme="majorHAnsi" w:hAnsiTheme="majorHAnsi" w:cstheme="minorHAnsi"/>
          <w:sz w:val="22"/>
          <w:szCs w:val="22"/>
        </w:rPr>
      </w:pPr>
    </w:p>
    <w:p w14:paraId="55F58154" w14:textId="05EDC203" w:rsidR="00C9689D" w:rsidRDefault="00C9689D" w:rsidP="003528DD">
      <w:pPr>
        <w:autoSpaceDE w:val="0"/>
        <w:autoSpaceDN w:val="0"/>
        <w:adjustRightInd w:val="0"/>
        <w:rPr>
          <w:rFonts w:asciiTheme="majorHAnsi" w:hAnsiTheme="majorHAnsi" w:cstheme="minorHAnsi"/>
          <w:sz w:val="22"/>
          <w:szCs w:val="22"/>
        </w:rPr>
      </w:pPr>
    </w:p>
    <w:p w14:paraId="0D38A870" w14:textId="77777777" w:rsidR="00072CD7" w:rsidRPr="00C9689D" w:rsidRDefault="00072CD7" w:rsidP="003528DD">
      <w:pPr>
        <w:autoSpaceDE w:val="0"/>
        <w:autoSpaceDN w:val="0"/>
        <w:adjustRightInd w:val="0"/>
        <w:rPr>
          <w:rFonts w:asciiTheme="majorHAnsi" w:hAnsiTheme="majorHAnsi" w:cstheme="minorHAnsi"/>
          <w:sz w:val="22"/>
          <w:szCs w:val="22"/>
        </w:rPr>
      </w:pPr>
    </w:p>
    <w:p w14:paraId="65DB48FD" w14:textId="77777777" w:rsidR="00C9689D" w:rsidRDefault="00C9689D" w:rsidP="003528DD">
      <w:pPr>
        <w:autoSpaceDE w:val="0"/>
        <w:autoSpaceDN w:val="0"/>
        <w:adjustRightInd w:val="0"/>
        <w:rPr>
          <w:rFonts w:asciiTheme="majorHAnsi" w:hAnsiTheme="majorHAnsi" w:cstheme="minorHAnsi"/>
          <w:sz w:val="22"/>
          <w:szCs w:val="22"/>
        </w:rPr>
      </w:pPr>
    </w:p>
    <w:p w14:paraId="506448F0" w14:textId="77777777" w:rsidR="001E3AC6" w:rsidRPr="00005F38" w:rsidRDefault="001E3AC6" w:rsidP="00012372">
      <w:pPr>
        <w:autoSpaceDE w:val="0"/>
        <w:autoSpaceDN w:val="0"/>
        <w:adjustRightInd w:val="0"/>
        <w:rPr>
          <w:sz w:val="26"/>
          <w:szCs w:val="26"/>
        </w:rPr>
      </w:pPr>
    </w:p>
    <w:p w14:paraId="196FE377" w14:textId="32B609E5" w:rsidR="001E3AC6" w:rsidRPr="005651A6" w:rsidRDefault="00053F0E" w:rsidP="001E3AC6">
      <w:pPr>
        <w:autoSpaceDE w:val="0"/>
        <w:autoSpaceDN w:val="0"/>
        <w:adjustRightInd w:val="0"/>
        <w:jc w:val="center"/>
        <w:rPr>
          <w:b/>
          <w:bCs/>
          <w:sz w:val="26"/>
          <w:szCs w:val="26"/>
        </w:rPr>
      </w:pPr>
      <w:r w:rsidRPr="005651A6">
        <w:rPr>
          <w:b/>
          <w:bCs/>
          <w:sz w:val="26"/>
          <w:szCs w:val="26"/>
        </w:rPr>
        <w:t xml:space="preserve">Press Release </w:t>
      </w:r>
    </w:p>
    <w:p w14:paraId="0CA674FB" w14:textId="401E0629" w:rsidR="00053F0E" w:rsidRPr="005651A6" w:rsidRDefault="00053F0E" w:rsidP="001E3AC6">
      <w:pPr>
        <w:autoSpaceDE w:val="0"/>
        <w:autoSpaceDN w:val="0"/>
        <w:adjustRightInd w:val="0"/>
        <w:jc w:val="center"/>
        <w:rPr>
          <w:b/>
          <w:bCs/>
          <w:sz w:val="26"/>
          <w:szCs w:val="26"/>
        </w:rPr>
      </w:pPr>
      <w:r w:rsidRPr="005651A6">
        <w:rPr>
          <w:b/>
          <w:bCs/>
          <w:sz w:val="26"/>
          <w:szCs w:val="26"/>
        </w:rPr>
        <w:t xml:space="preserve">Feb </w:t>
      </w:r>
      <w:r w:rsidR="00005F38" w:rsidRPr="005651A6">
        <w:rPr>
          <w:b/>
          <w:bCs/>
          <w:sz w:val="26"/>
          <w:szCs w:val="26"/>
        </w:rPr>
        <w:t>16</w:t>
      </w:r>
      <w:r w:rsidRPr="005651A6">
        <w:rPr>
          <w:b/>
          <w:bCs/>
          <w:sz w:val="26"/>
          <w:szCs w:val="26"/>
        </w:rPr>
        <w:t>, 2022</w:t>
      </w:r>
    </w:p>
    <w:p w14:paraId="5ADF1BA6" w14:textId="708936D6" w:rsidR="00005F38" w:rsidRDefault="00005F38" w:rsidP="001E3AC6">
      <w:pPr>
        <w:autoSpaceDE w:val="0"/>
        <w:autoSpaceDN w:val="0"/>
        <w:adjustRightInd w:val="0"/>
        <w:jc w:val="center"/>
        <w:rPr>
          <w:sz w:val="26"/>
          <w:szCs w:val="26"/>
        </w:rPr>
      </w:pPr>
      <w:r>
        <w:rPr>
          <w:sz w:val="26"/>
          <w:szCs w:val="26"/>
        </w:rPr>
        <w:t>Contact Liz Friel, Executive Director</w:t>
      </w:r>
    </w:p>
    <w:p w14:paraId="5B099F02" w14:textId="792B11E2" w:rsidR="00005F38" w:rsidRDefault="00E21662" w:rsidP="001E3AC6">
      <w:pPr>
        <w:autoSpaceDE w:val="0"/>
        <w:autoSpaceDN w:val="0"/>
        <w:adjustRightInd w:val="0"/>
        <w:jc w:val="center"/>
        <w:rPr>
          <w:sz w:val="26"/>
          <w:szCs w:val="26"/>
        </w:rPr>
      </w:pPr>
      <w:hyperlink r:id="rId8" w:history="1">
        <w:r w:rsidR="00005F38" w:rsidRPr="009B7927">
          <w:rPr>
            <w:rStyle w:val="Hyperlink"/>
            <w:sz w:val="26"/>
            <w:szCs w:val="26"/>
          </w:rPr>
          <w:t>lizfriel@livingrivertrust.org</w:t>
        </w:r>
      </w:hyperlink>
    </w:p>
    <w:p w14:paraId="0753F2EF" w14:textId="045A095C" w:rsidR="00005F38" w:rsidRDefault="00005F38" w:rsidP="001E3AC6">
      <w:pPr>
        <w:autoSpaceDE w:val="0"/>
        <w:autoSpaceDN w:val="0"/>
        <w:adjustRightInd w:val="0"/>
        <w:jc w:val="center"/>
        <w:rPr>
          <w:sz w:val="26"/>
          <w:szCs w:val="26"/>
        </w:rPr>
      </w:pPr>
      <w:r>
        <w:rPr>
          <w:sz w:val="26"/>
          <w:szCs w:val="26"/>
        </w:rPr>
        <w:t>5712059141</w:t>
      </w:r>
    </w:p>
    <w:p w14:paraId="0D25C473" w14:textId="3AAEA032" w:rsidR="00005F38" w:rsidRPr="005651A6" w:rsidRDefault="005651A6" w:rsidP="001E3AC6">
      <w:pPr>
        <w:autoSpaceDE w:val="0"/>
        <w:autoSpaceDN w:val="0"/>
        <w:adjustRightInd w:val="0"/>
        <w:jc w:val="center"/>
        <w:rPr>
          <w:i/>
          <w:iCs/>
          <w:sz w:val="26"/>
          <w:szCs w:val="26"/>
        </w:rPr>
      </w:pPr>
      <w:r w:rsidRPr="005651A6">
        <w:rPr>
          <w:i/>
          <w:iCs/>
          <w:sz w:val="26"/>
          <w:szCs w:val="26"/>
        </w:rPr>
        <w:t>www.l</w:t>
      </w:r>
      <w:r w:rsidR="00005F38" w:rsidRPr="005651A6">
        <w:rPr>
          <w:i/>
          <w:iCs/>
          <w:sz w:val="26"/>
          <w:szCs w:val="26"/>
        </w:rPr>
        <w:t>ivingrivertrust.org</w:t>
      </w:r>
    </w:p>
    <w:p w14:paraId="1F955F47" w14:textId="77777777" w:rsidR="00005F38" w:rsidRDefault="00005F38" w:rsidP="001E3AC6">
      <w:pPr>
        <w:autoSpaceDE w:val="0"/>
        <w:autoSpaceDN w:val="0"/>
        <w:adjustRightInd w:val="0"/>
        <w:jc w:val="center"/>
        <w:rPr>
          <w:sz w:val="26"/>
          <w:szCs w:val="26"/>
        </w:rPr>
      </w:pPr>
    </w:p>
    <w:p w14:paraId="43846DE6" w14:textId="4B183477" w:rsidR="00005F38" w:rsidRDefault="00D84269" w:rsidP="00005F38">
      <w:pPr>
        <w:jc w:val="both"/>
        <w:rPr>
          <w:color w:val="000000"/>
          <w:sz w:val="26"/>
          <w:szCs w:val="26"/>
        </w:rPr>
      </w:pPr>
      <w:r>
        <w:rPr>
          <w:color w:val="000000"/>
          <w:sz w:val="26"/>
          <w:szCs w:val="26"/>
        </w:rPr>
        <w:tab/>
        <w:t xml:space="preserve">A </w:t>
      </w:r>
      <w:r w:rsidR="005651A6">
        <w:rPr>
          <w:color w:val="000000"/>
          <w:sz w:val="26"/>
          <w:szCs w:val="26"/>
        </w:rPr>
        <w:t xml:space="preserve">conservation </w:t>
      </w:r>
      <w:r>
        <w:rPr>
          <w:color w:val="000000"/>
          <w:sz w:val="26"/>
          <w:szCs w:val="26"/>
        </w:rPr>
        <w:t xml:space="preserve">non-profit just struck an innovative deal to </w:t>
      </w:r>
      <w:r w:rsidR="00215F4C">
        <w:rPr>
          <w:color w:val="000000"/>
          <w:sz w:val="26"/>
          <w:szCs w:val="26"/>
        </w:rPr>
        <w:t xml:space="preserve">conserve </w:t>
      </w:r>
      <w:r>
        <w:rPr>
          <w:color w:val="000000"/>
          <w:sz w:val="26"/>
          <w:szCs w:val="26"/>
        </w:rPr>
        <w:t xml:space="preserve">nearly 90 acres of pristine waterfront land </w:t>
      </w:r>
      <w:r w:rsidR="0008404E">
        <w:rPr>
          <w:color w:val="000000"/>
          <w:sz w:val="26"/>
          <w:szCs w:val="26"/>
        </w:rPr>
        <w:t xml:space="preserve">for the public to enjoy </w:t>
      </w:r>
      <w:r>
        <w:rPr>
          <w:color w:val="000000"/>
          <w:sz w:val="26"/>
          <w:szCs w:val="26"/>
        </w:rPr>
        <w:t xml:space="preserve">in the City of Chesapeake.  </w:t>
      </w:r>
      <w:r w:rsidR="000E7272">
        <w:rPr>
          <w:color w:val="000000"/>
          <w:sz w:val="26"/>
          <w:szCs w:val="26"/>
        </w:rPr>
        <w:t xml:space="preserve">The Living River </w:t>
      </w:r>
      <w:r w:rsidR="00005F38">
        <w:rPr>
          <w:color w:val="000000"/>
          <w:sz w:val="26"/>
          <w:szCs w:val="26"/>
        </w:rPr>
        <w:t>Trust (</w:t>
      </w:r>
      <w:r w:rsidR="000E7272">
        <w:rPr>
          <w:color w:val="000000"/>
          <w:sz w:val="26"/>
          <w:szCs w:val="26"/>
        </w:rPr>
        <w:t xml:space="preserve">LRT) </w:t>
      </w:r>
      <w:r w:rsidR="0008404E">
        <w:rPr>
          <w:color w:val="000000"/>
          <w:sz w:val="26"/>
          <w:szCs w:val="26"/>
        </w:rPr>
        <w:t xml:space="preserve">works to conserve the “last 10%” </w:t>
      </w:r>
      <w:r w:rsidR="00432B0D">
        <w:rPr>
          <w:color w:val="000000"/>
          <w:sz w:val="26"/>
          <w:szCs w:val="26"/>
        </w:rPr>
        <w:t xml:space="preserve">of undeveloped land in the </w:t>
      </w:r>
      <w:r w:rsidR="0008404E">
        <w:rPr>
          <w:color w:val="000000"/>
          <w:sz w:val="26"/>
          <w:szCs w:val="26"/>
        </w:rPr>
        <w:t xml:space="preserve">environmentally sensitive Elizabeth River Watershed.   </w:t>
      </w:r>
      <w:r w:rsidR="00005F38">
        <w:rPr>
          <w:color w:val="000000"/>
          <w:sz w:val="26"/>
          <w:szCs w:val="26"/>
        </w:rPr>
        <w:t>This now</w:t>
      </w:r>
      <w:r w:rsidR="00C6201D">
        <w:rPr>
          <w:color w:val="000000"/>
          <w:sz w:val="26"/>
          <w:szCs w:val="26"/>
        </w:rPr>
        <w:t>-</w:t>
      </w:r>
      <w:r w:rsidR="0008404E">
        <w:rPr>
          <w:color w:val="000000"/>
          <w:sz w:val="26"/>
          <w:szCs w:val="26"/>
        </w:rPr>
        <w:t xml:space="preserve">protected land is referred to as “Newton Neck” </w:t>
      </w:r>
      <w:r w:rsidR="00215F4C">
        <w:rPr>
          <w:color w:val="000000"/>
          <w:sz w:val="26"/>
          <w:szCs w:val="26"/>
        </w:rPr>
        <w:t xml:space="preserve">is nestled along the Southern Branch of the Elizabeth River in </w:t>
      </w:r>
      <w:r w:rsidR="005651A6">
        <w:rPr>
          <w:color w:val="000000"/>
          <w:sz w:val="26"/>
          <w:szCs w:val="26"/>
        </w:rPr>
        <w:t>Chesapeake, among</w:t>
      </w:r>
      <w:r w:rsidR="00215F4C">
        <w:rPr>
          <w:color w:val="000000"/>
          <w:sz w:val="26"/>
          <w:szCs w:val="26"/>
        </w:rPr>
        <w:t xml:space="preserve"> established neighborhoods, a </w:t>
      </w:r>
      <w:r w:rsidR="005651A6">
        <w:rPr>
          <w:color w:val="000000"/>
          <w:sz w:val="26"/>
          <w:szCs w:val="26"/>
        </w:rPr>
        <w:t>marina,</w:t>
      </w:r>
      <w:r w:rsidR="00215F4C">
        <w:rPr>
          <w:color w:val="000000"/>
          <w:sz w:val="26"/>
          <w:szCs w:val="26"/>
        </w:rPr>
        <w:t xml:space="preserve"> and industrial uses.  </w:t>
      </w:r>
    </w:p>
    <w:p w14:paraId="1949B2F2" w14:textId="77777777" w:rsidR="00005F38" w:rsidRDefault="00005F38" w:rsidP="00005F38">
      <w:pPr>
        <w:jc w:val="both"/>
        <w:rPr>
          <w:color w:val="000000"/>
          <w:sz w:val="26"/>
          <w:szCs w:val="26"/>
        </w:rPr>
      </w:pPr>
    </w:p>
    <w:p w14:paraId="7AB70745" w14:textId="77777777" w:rsidR="00C6201D" w:rsidRDefault="00215F4C" w:rsidP="00005F38">
      <w:pPr>
        <w:ind w:firstLine="720"/>
        <w:jc w:val="both"/>
        <w:rPr>
          <w:color w:val="000000"/>
          <w:sz w:val="26"/>
          <w:szCs w:val="26"/>
        </w:rPr>
      </w:pPr>
      <w:r>
        <w:rPr>
          <w:color w:val="000000"/>
          <w:sz w:val="26"/>
          <w:szCs w:val="26"/>
        </w:rPr>
        <w:t xml:space="preserve">“This land is special; it has never been developed and in its natural state with wetlands, mature woodlands, and a gorgeous waterfront.  Conservation is the ultimate protector of </w:t>
      </w:r>
      <w:r w:rsidR="00C6201D">
        <w:rPr>
          <w:color w:val="000000"/>
          <w:sz w:val="26"/>
          <w:szCs w:val="26"/>
        </w:rPr>
        <w:t xml:space="preserve">the environment and </w:t>
      </w:r>
      <w:r>
        <w:rPr>
          <w:color w:val="000000"/>
          <w:sz w:val="26"/>
          <w:szCs w:val="26"/>
        </w:rPr>
        <w:t xml:space="preserve">water quality, especially in these </w:t>
      </w:r>
      <w:r w:rsidR="000E7272">
        <w:rPr>
          <w:color w:val="000000"/>
          <w:sz w:val="26"/>
          <w:szCs w:val="26"/>
        </w:rPr>
        <w:t xml:space="preserve">largely developed </w:t>
      </w:r>
      <w:r>
        <w:rPr>
          <w:color w:val="000000"/>
          <w:sz w:val="26"/>
          <w:szCs w:val="26"/>
        </w:rPr>
        <w:t xml:space="preserve">areas” says Liz Friel, the Executive Director of the Living River Trust.  </w:t>
      </w:r>
    </w:p>
    <w:p w14:paraId="192F3763" w14:textId="77777777" w:rsidR="00C6201D" w:rsidRDefault="00C6201D" w:rsidP="00005F38">
      <w:pPr>
        <w:ind w:firstLine="720"/>
        <w:jc w:val="both"/>
        <w:rPr>
          <w:color w:val="000000"/>
          <w:sz w:val="26"/>
          <w:szCs w:val="26"/>
        </w:rPr>
      </w:pPr>
    </w:p>
    <w:p w14:paraId="478023E7" w14:textId="7EF9D3D9" w:rsidR="000E7272" w:rsidRPr="00DF0BE0" w:rsidRDefault="00215F4C" w:rsidP="00C6201D">
      <w:pPr>
        <w:ind w:firstLine="720"/>
        <w:jc w:val="both"/>
        <w:rPr>
          <w:color w:val="000000"/>
          <w:sz w:val="26"/>
          <w:szCs w:val="26"/>
        </w:rPr>
      </w:pPr>
      <w:r>
        <w:rPr>
          <w:color w:val="000000"/>
          <w:sz w:val="26"/>
          <w:szCs w:val="26"/>
        </w:rPr>
        <w:t>A unique partnership and foresight made not only the conservation of the land possible, but also the dedication of the land to public use</w:t>
      </w:r>
      <w:r w:rsidR="000E7272">
        <w:rPr>
          <w:color w:val="000000"/>
          <w:sz w:val="26"/>
          <w:szCs w:val="26"/>
        </w:rPr>
        <w:t xml:space="preserve"> for Chesapeake in the form of passive recreation such as trails.  </w:t>
      </w:r>
      <w:r>
        <w:rPr>
          <w:color w:val="000000"/>
          <w:sz w:val="26"/>
          <w:szCs w:val="26"/>
        </w:rPr>
        <w:t xml:space="preserve">The protection of the land </w:t>
      </w:r>
      <w:r w:rsidR="000E7272">
        <w:rPr>
          <w:color w:val="000000"/>
          <w:sz w:val="26"/>
          <w:szCs w:val="26"/>
        </w:rPr>
        <w:t xml:space="preserve">began with </w:t>
      </w:r>
      <w:r w:rsidR="003800A4">
        <w:rPr>
          <w:color w:val="000000"/>
          <w:sz w:val="26"/>
          <w:szCs w:val="26"/>
        </w:rPr>
        <w:t>LRT</w:t>
      </w:r>
      <w:r w:rsidR="000E7272">
        <w:rPr>
          <w:color w:val="000000"/>
          <w:sz w:val="26"/>
          <w:szCs w:val="26"/>
        </w:rPr>
        <w:t xml:space="preserve"> reaching out to </w:t>
      </w:r>
      <w:r w:rsidR="000E7272" w:rsidRPr="00DF0BE0">
        <w:rPr>
          <w:color w:val="000000"/>
          <w:sz w:val="26"/>
          <w:szCs w:val="26"/>
        </w:rPr>
        <w:t>the</w:t>
      </w:r>
      <w:r w:rsidR="000E7272">
        <w:rPr>
          <w:color w:val="000000"/>
          <w:sz w:val="26"/>
          <w:szCs w:val="26"/>
        </w:rPr>
        <w:t xml:space="preserve"> longtime owners of the property, the </w:t>
      </w:r>
      <w:r w:rsidR="0094240D" w:rsidRPr="003800A4">
        <w:rPr>
          <w:color w:val="000000"/>
          <w:sz w:val="26"/>
          <w:szCs w:val="26"/>
        </w:rPr>
        <w:t>Vann</w:t>
      </w:r>
      <w:r w:rsidR="003800A4">
        <w:rPr>
          <w:color w:val="000000"/>
          <w:sz w:val="26"/>
          <w:szCs w:val="26"/>
        </w:rPr>
        <w:t xml:space="preserve"> family</w:t>
      </w:r>
      <w:r w:rsidR="00C6201D">
        <w:rPr>
          <w:color w:val="000000"/>
          <w:sz w:val="26"/>
          <w:szCs w:val="26"/>
        </w:rPr>
        <w:t xml:space="preserve"> (Southport Land Corporation) in</w:t>
      </w:r>
      <w:r w:rsidR="00F364FF">
        <w:rPr>
          <w:color w:val="000000"/>
          <w:sz w:val="26"/>
          <w:szCs w:val="26"/>
        </w:rPr>
        <w:t xml:space="preserve"> 2020</w:t>
      </w:r>
      <w:r w:rsidR="0094240D" w:rsidRPr="00DF0BE0">
        <w:rPr>
          <w:color w:val="000000"/>
          <w:sz w:val="26"/>
          <w:szCs w:val="26"/>
        </w:rPr>
        <w:t>.  The Vann</w:t>
      </w:r>
      <w:r w:rsidR="00C6201D">
        <w:rPr>
          <w:color w:val="000000"/>
          <w:sz w:val="26"/>
          <w:szCs w:val="26"/>
        </w:rPr>
        <w:t>s</w:t>
      </w:r>
      <w:r w:rsidR="0094240D" w:rsidRPr="00DF0BE0">
        <w:rPr>
          <w:color w:val="000000"/>
          <w:sz w:val="26"/>
          <w:szCs w:val="26"/>
        </w:rPr>
        <w:t xml:space="preserve"> agreed to consider the sale of the property to </w:t>
      </w:r>
      <w:r w:rsidR="00EF48E7" w:rsidRPr="00DF0BE0">
        <w:rPr>
          <w:color w:val="000000"/>
          <w:sz w:val="26"/>
          <w:szCs w:val="26"/>
        </w:rPr>
        <w:t xml:space="preserve">the Living River Trust with the </w:t>
      </w:r>
      <w:r w:rsidR="00946CE0" w:rsidRPr="00DF0BE0">
        <w:rPr>
          <w:color w:val="000000"/>
          <w:sz w:val="26"/>
          <w:szCs w:val="26"/>
        </w:rPr>
        <w:t>requirement that</w:t>
      </w:r>
      <w:r w:rsidR="00EF48E7" w:rsidRPr="00DF0BE0">
        <w:rPr>
          <w:color w:val="000000"/>
          <w:sz w:val="26"/>
          <w:szCs w:val="26"/>
        </w:rPr>
        <w:t xml:space="preserve"> their family’s property be dedicated as permanent open space for public use </w:t>
      </w:r>
      <w:r w:rsidR="00FE41B6" w:rsidRPr="00DF0BE0">
        <w:rPr>
          <w:color w:val="000000"/>
          <w:sz w:val="26"/>
          <w:szCs w:val="26"/>
        </w:rPr>
        <w:t>by</w:t>
      </w:r>
      <w:r w:rsidR="00EF48E7" w:rsidRPr="00DF0BE0">
        <w:rPr>
          <w:color w:val="000000"/>
          <w:sz w:val="26"/>
          <w:szCs w:val="26"/>
        </w:rPr>
        <w:t xml:space="preserve"> the City of Chesapeake.  </w:t>
      </w:r>
      <w:r w:rsidR="000E7272">
        <w:rPr>
          <w:color w:val="000000"/>
          <w:sz w:val="26"/>
          <w:szCs w:val="26"/>
        </w:rPr>
        <w:t xml:space="preserve">LRT’s </w:t>
      </w:r>
      <w:r w:rsidR="00775EC6">
        <w:rPr>
          <w:color w:val="000000"/>
          <w:sz w:val="26"/>
          <w:szCs w:val="26"/>
        </w:rPr>
        <w:t xml:space="preserve">mission </w:t>
      </w:r>
      <w:r w:rsidR="00C6201D">
        <w:rPr>
          <w:color w:val="000000"/>
          <w:sz w:val="26"/>
          <w:szCs w:val="26"/>
        </w:rPr>
        <w:t>was then</w:t>
      </w:r>
      <w:r w:rsidR="000E7272">
        <w:rPr>
          <w:color w:val="000000"/>
          <w:sz w:val="26"/>
          <w:szCs w:val="26"/>
        </w:rPr>
        <w:t xml:space="preserve"> to </w:t>
      </w:r>
      <w:r w:rsidR="005651A6">
        <w:rPr>
          <w:color w:val="000000"/>
          <w:sz w:val="26"/>
          <w:szCs w:val="26"/>
        </w:rPr>
        <w:t xml:space="preserve">facilitate </w:t>
      </w:r>
      <w:r w:rsidR="000E7272">
        <w:rPr>
          <w:color w:val="000000"/>
          <w:sz w:val="26"/>
          <w:szCs w:val="26"/>
        </w:rPr>
        <w:t xml:space="preserve">the </w:t>
      </w:r>
      <w:r w:rsidR="005651A6">
        <w:rPr>
          <w:color w:val="000000"/>
          <w:sz w:val="26"/>
          <w:szCs w:val="26"/>
        </w:rPr>
        <w:t xml:space="preserve">conservation and </w:t>
      </w:r>
      <w:r w:rsidR="000E7272">
        <w:rPr>
          <w:color w:val="000000"/>
          <w:sz w:val="26"/>
          <w:szCs w:val="26"/>
        </w:rPr>
        <w:t xml:space="preserve">public use of the land and </w:t>
      </w:r>
      <w:r w:rsidR="005651A6">
        <w:rPr>
          <w:color w:val="000000"/>
          <w:sz w:val="26"/>
          <w:szCs w:val="26"/>
        </w:rPr>
        <w:t xml:space="preserve">to </w:t>
      </w:r>
      <w:r w:rsidR="000E7272">
        <w:rPr>
          <w:color w:val="000000"/>
          <w:sz w:val="26"/>
          <w:szCs w:val="26"/>
        </w:rPr>
        <w:t>secure funding.</w:t>
      </w:r>
    </w:p>
    <w:p w14:paraId="2CEED210" w14:textId="77777777" w:rsidR="00EF48E7" w:rsidRPr="00DF0BE0" w:rsidRDefault="00EF48E7" w:rsidP="00005F38">
      <w:pPr>
        <w:ind w:firstLine="720"/>
        <w:jc w:val="both"/>
        <w:rPr>
          <w:color w:val="000000"/>
          <w:sz w:val="26"/>
          <w:szCs w:val="26"/>
        </w:rPr>
      </w:pPr>
    </w:p>
    <w:p w14:paraId="7BB16846" w14:textId="59284AAF" w:rsidR="00575360" w:rsidRPr="00DF0BE0" w:rsidRDefault="00946D33" w:rsidP="00005F38">
      <w:pPr>
        <w:ind w:firstLine="720"/>
        <w:jc w:val="both"/>
        <w:rPr>
          <w:color w:val="000000"/>
          <w:sz w:val="26"/>
          <w:szCs w:val="26"/>
        </w:rPr>
      </w:pPr>
      <w:r w:rsidRPr="00DF0BE0">
        <w:rPr>
          <w:color w:val="000000"/>
          <w:sz w:val="26"/>
          <w:szCs w:val="26"/>
        </w:rPr>
        <w:t xml:space="preserve">After </w:t>
      </w:r>
      <w:r w:rsidR="00005F38">
        <w:rPr>
          <w:color w:val="000000"/>
          <w:sz w:val="26"/>
          <w:szCs w:val="26"/>
        </w:rPr>
        <w:t>Chesapeake’s</w:t>
      </w:r>
      <w:r w:rsidR="000E7272">
        <w:rPr>
          <w:color w:val="000000"/>
          <w:sz w:val="26"/>
          <w:szCs w:val="26"/>
        </w:rPr>
        <w:t xml:space="preserve"> </w:t>
      </w:r>
      <w:r w:rsidRPr="00DF0BE0">
        <w:rPr>
          <w:color w:val="000000"/>
          <w:sz w:val="26"/>
          <w:szCs w:val="26"/>
        </w:rPr>
        <w:t>Mayor West, City Council and s</w:t>
      </w:r>
      <w:r w:rsidR="003B70FF" w:rsidRPr="00DF0BE0">
        <w:rPr>
          <w:color w:val="000000"/>
          <w:sz w:val="26"/>
          <w:szCs w:val="26"/>
        </w:rPr>
        <w:t xml:space="preserve">everal of Chesapeake’s legislative delegation toured the </w:t>
      </w:r>
      <w:r w:rsidRPr="00DF0BE0">
        <w:rPr>
          <w:color w:val="000000"/>
          <w:sz w:val="26"/>
          <w:szCs w:val="26"/>
        </w:rPr>
        <w:t>property; they immediately recognized</w:t>
      </w:r>
      <w:r w:rsidR="003B70FF" w:rsidRPr="00DF0BE0">
        <w:rPr>
          <w:color w:val="000000"/>
          <w:sz w:val="26"/>
          <w:szCs w:val="26"/>
        </w:rPr>
        <w:t xml:space="preserve"> its </w:t>
      </w:r>
      <w:r w:rsidR="00351CED">
        <w:rPr>
          <w:color w:val="000000"/>
          <w:sz w:val="26"/>
          <w:szCs w:val="26"/>
        </w:rPr>
        <w:t xml:space="preserve">pristine condition, </w:t>
      </w:r>
      <w:r w:rsidR="003B70FF" w:rsidRPr="00DF0BE0">
        <w:rPr>
          <w:color w:val="000000"/>
          <w:sz w:val="26"/>
          <w:szCs w:val="26"/>
        </w:rPr>
        <w:t>outstanding</w:t>
      </w:r>
      <w:r w:rsidR="00351CED">
        <w:rPr>
          <w:color w:val="000000"/>
          <w:sz w:val="26"/>
          <w:szCs w:val="26"/>
        </w:rPr>
        <w:t xml:space="preserve"> ecological </w:t>
      </w:r>
      <w:r w:rsidR="00342B58">
        <w:rPr>
          <w:color w:val="000000"/>
          <w:sz w:val="26"/>
          <w:szCs w:val="26"/>
        </w:rPr>
        <w:t>significance,</w:t>
      </w:r>
      <w:r w:rsidR="00351CED">
        <w:rPr>
          <w:color w:val="000000"/>
          <w:sz w:val="26"/>
          <w:szCs w:val="26"/>
        </w:rPr>
        <w:t xml:space="preserve"> and open</w:t>
      </w:r>
      <w:r w:rsidR="00D203BC">
        <w:rPr>
          <w:color w:val="000000"/>
          <w:sz w:val="26"/>
          <w:szCs w:val="26"/>
        </w:rPr>
        <w:t xml:space="preserve"> space</w:t>
      </w:r>
      <w:r w:rsidR="00351CED">
        <w:rPr>
          <w:color w:val="000000"/>
          <w:sz w:val="26"/>
          <w:szCs w:val="26"/>
        </w:rPr>
        <w:t xml:space="preserve"> </w:t>
      </w:r>
      <w:r w:rsidR="003B70FF" w:rsidRPr="00DF0BE0">
        <w:rPr>
          <w:color w:val="000000"/>
          <w:sz w:val="26"/>
          <w:szCs w:val="26"/>
        </w:rPr>
        <w:t>value</w:t>
      </w:r>
      <w:r w:rsidR="00351CED">
        <w:rPr>
          <w:color w:val="000000"/>
          <w:sz w:val="26"/>
          <w:szCs w:val="26"/>
        </w:rPr>
        <w:t xml:space="preserve"> as a park</w:t>
      </w:r>
      <w:r w:rsidR="003B70FF" w:rsidRPr="00DF0BE0">
        <w:rPr>
          <w:color w:val="000000"/>
          <w:sz w:val="26"/>
          <w:szCs w:val="26"/>
        </w:rPr>
        <w:t xml:space="preserve">. A </w:t>
      </w:r>
      <w:r w:rsidRPr="00DF0BE0">
        <w:rPr>
          <w:color w:val="000000"/>
          <w:sz w:val="26"/>
          <w:szCs w:val="26"/>
        </w:rPr>
        <w:t>General Assembly</w:t>
      </w:r>
      <w:r w:rsidR="003B70FF" w:rsidRPr="00DF0BE0">
        <w:rPr>
          <w:color w:val="000000"/>
          <w:sz w:val="26"/>
          <w:szCs w:val="26"/>
        </w:rPr>
        <w:t xml:space="preserve"> appropriation secured the property’s selling price and</w:t>
      </w:r>
      <w:r w:rsidR="00EF48E7" w:rsidRPr="00DF0BE0">
        <w:rPr>
          <w:color w:val="000000"/>
          <w:sz w:val="26"/>
          <w:szCs w:val="26"/>
        </w:rPr>
        <w:t xml:space="preserve"> </w:t>
      </w:r>
      <w:r w:rsidRPr="00DF0BE0">
        <w:rPr>
          <w:color w:val="000000"/>
          <w:sz w:val="26"/>
          <w:szCs w:val="26"/>
        </w:rPr>
        <w:t xml:space="preserve">was </w:t>
      </w:r>
      <w:r w:rsidR="003B70FF" w:rsidRPr="00DF0BE0">
        <w:rPr>
          <w:color w:val="000000"/>
          <w:sz w:val="26"/>
          <w:szCs w:val="26"/>
        </w:rPr>
        <w:t xml:space="preserve">funded through </w:t>
      </w:r>
      <w:r w:rsidR="00D203BC">
        <w:rPr>
          <w:color w:val="000000"/>
          <w:sz w:val="26"/>
          <w:szCs w:val="26"/>
        </w:rPr>
        <w:t xml:space="preserve">the </w:t>
      </w:r>
      <w:r w:rsidR="00E6214C" w:rsidRPr="00DF0BE0">
        <w:rPr>
          <w:color w:val="000000"/>
          <w:sz w:val="26"/>
          <w:szCs w:val="26"/>
        </w:rPr>
        <w:t>Virginia Department of Conservation and Recreation (DCR).  The advocate</w:t>
      </w:r>
      <w:r w:rsidR="003B70FF" w:rsidRPr="00DF0BE0">
        <w:rPr>
          <w:color w:val="000000"/>
          <w:sz w:val="26"/>
          <w:szCs w:val="26"/>
        </w:rPr>
        <w:t>s</w:t>
      </w:r>
      <w:r w:rsidR="00E6214C" w:rsidRPr="00DF0BE0">
        <w:rPr>
          <w:color w:val="000000"/>
          <w:sz w:val="26"/>
          <w:szCs w:val="26"/>
        </w:rPr>
        <w:t xml:space="preserve"> for the </w:t>
      </w:r>
      <w:r w:rsidR="00A70857" w:rsidRPr="00DF0BE0">
        <w:rPr>
          <w:color w:val="000000"/>
          <w:sz w:val="26"/>
          <w:szCs w:val="26"/>
        </w:rPr>
        <w:t>funding</w:t>
      </w:r>
      <w:r w:rsidR="003B70FF" w:rsidRPr="00DF0BE0">
        <w:rPr>
          <w:color w:val="000000"/>
          <w:sz w:val="26"/>
          <w:szCs w:val="26"/>
        </w:rPr>
        <w:t xml:space="preserve"> </w:t>
      </w:r>
      <w:r w:rsidR="000E7272">
        <w:rPr>
          <w:color w:val="000000"/>
          <w:sz w:val="26"/>
          <w:szCs w:val="26"/>
        </w:rPr>
        <w:t xml:space="preserve">were </w:t>
      </w:r>
      <w:r w:rsidR="003B70FF" w:rsidRPr="00DF0BE0">
        <w:rPr>
          <w:color w:val="000000"/>
          <w:sz w:val="26"/>
          <w:szCs w:val="26"/>
        </w:rPr>
        <w:t xml:space="preserve">numerous with Delegate C.E. </w:t>
      </w:r>
      <w:r w:rsidRPr="00DF0BE0">
        <w:rPr>
          <w:color w:val="000000"/>
          <w:sz w:val="26"/>
          <w:szCs w:val="26"/>
        </w:rPr>
        <w:t>“</w:t>
      </w:r>
      <w:r w:rsidR="003B70FF" w:rsidRPr="00DF0BE0">
        <w:rPr>
          <w:color w:val="000000"/>
          <w:sz w:val="26"/>
          <w:szCs w:val="26"/>
        </w:rPr>
        <w:t>Cliff</w:t>
      </w:r>
      <w:r w:rsidRPr="00DF0BE0">
        <w:rPr>
          <w:color w:val="000000"/>
          <w:sz w:val="26"/>
          <w:szCs w:val="26"/>
        </w:rPr>
        <w:t>”</w:t>
      </w:r>
      <w:r w:rsidR="003B70FF" w:rsidRPr="00DF0BE0">
        <w:rPr>
          <w:color w:val="000000"/>
          <w:sz w:val="26"/>
          <w:szCs w:val="26"/>
        </w:rPr>
        <w:t xml:space="preserve"> Hayes submitting the budget amendment</w:t>
      </w:r>
      <w:r w:rsidR="00D203BC">
        <w:rPr>
          <w:color w:val="000000"/>
          <w:sz w:val="26"/>
          <w:szCs w:val="26"/>
        </w:rPr>
        <w:t xml:space="preserve">, strategic </w:t>
      </w:r>
      <w:r w:rsidR="00D2464C">
        <w:rPr>
          <w:color w:val="000000"/>
          <w:sz w:val="26"/>
          <w:szCs w:val="26"/>
        </w:rPr>
        <w:t xml:space="preserve">counsel </w:t>
      </w:r>
      <w:r w:rsidR="003B70FF" w:rsidRPr="00DF0BE0">
        <w:rPr>
          <w:color w:val="000000"/>
          <w:sz w:val="26"/>
          <w:szCs w:val="26"/>
        </w:rPr>
        <w:t>of Delegate Barry Knight</w:t>
      </w:r>
      <w:r w:rsidR="00D2464C">
        <w:rPr>
          <w:color w:val="000000"/>
          <w:sz w:val="26"/>
          <w:szCs w:val="26"/>
        </w:rPr>
        <w:t xml:space="preserve"> </w:t>
      </w:r>
      <w:r w:rsidR="00485194">
        <w:rPr>
          <w:color w:val="000000"/>
          <w:sz w:val="26"/>
          <w:szCs w:val="26"/>
        </w:rPr>
        <w:t>in addition to</w:t>
      </w:r>
      <w:r w:rsidR="00D2464C">
        <w:rPr>
          <w:color w:val="000000"/>
          <w:sz w:val="26"/>
          <w:szCs w:val="26"/>
        </w:rPr>
        <w:t xml:space="preserve"> the support of</w:t>
      </w:r>
      <w:r w:rsidR="00D203BC">
        <w:rPr>
          <w:color w:val="000000"/>
          <w:sz w:val="26"/>
          <w:szCs w:val="26"/>
        </w:rPr>
        <w:t xml:space="preserve"> Chesapeake</w:t>
      </w:r>
      <w:r w:rsidR="00D2464C">
        <w:rPr>
          <w:color w:val="000000"/>
          <w:sz w:val="26"/>
          <w:szCs w:val="26"/>
        </w:rPr>
        <w:t>’</w:t>
      </w:r>
      <w:r w:rsidR="00D203BC">
        <w:rPr>
          <w:color w:val="000000"/>
          <w:sz w:val="26"/>
          <w:szCs w:val="26"/>
        </w:rPr>
        <w:t xml:space="preserve">s </w:t>
      </w:r>
      <w:r w:rsidR="00D2464C">
        <w:rPr>
          <w:color w:val="000000"/>
          <w:sz w:val="26"/>
          <w:szCs w:val="26"/>
        </w:rPr>
        <w:t xml:space="preserve">entire </w:t>
      </w:r>
      <w:r w:rsidR="00D203BC">
        <w:rPr>
          <w:color w:val="000000"/>
          <w:sz w:val="26"/>
          <w:szCs w:val="26"/>
        </w:rPr>
        <w:t xml:space="preserve">legislative delegation.  </w:t>
      </w:r>
    </w:p>
    <w:p w14:paraId="1C5FEB6E" w14:textId="77777777" w:rsidR="00575360" w:rsidRPr="00DF0BE0" w:rsidRDefault="00575360" w:rsidP="00005F38">
      <w:pPr>
        <w:ind w:firstLine="720"/>
        <w:jc w:val="both"/>
        <w:rPr>
          <w:color w:val="000000"/>
          <w:sz w:val="26"/>
          <w:szCs w:val="26"/>
        </w:rPr>
      </w:pPr>
    </w:p>
    <w:p w14:paraId="364CDC24" w14:textId="299511EE" w:rsidR="00575360" w:rsidRDefault="00E6214C" w:rsidP="00005F38">
      <w:pPr>
        <w:ind w:firstLine="720"/>
        <w:jc w:val="both"/>
        <w:rPr>
          <w:color w:val="000000"/>
          <w:sz w:val="26"/>
          <w:szCs w:val="26"/>
        </w:rPr>
      </w:pPr>
      <w:r w:rsidRPr="00DF0BE0">
        <w:rPr>
          <w:color w:val="000000"/>
          <w:sz w:val="26"/>
          <w:szCs w:val="26"/>
        </w:rPr>
        <w:t>Additional</w:t>
      </w:r>
      <w:r w:rsidR="00575360" w:rsidRPr="00DF0BE0">
        <w:rPr>
          <w:color w:val="000000"/>
          <w:sz w:val="26"/>
          <w:szCs w:val="26"/>
        </w:rPr>
        <w:t>ly</w:t>
      </w:r>
      <w:r w:rsidRPr="00DF0BE0">
        <w:rPr>
          <w:color w:val="000000"/>
          <w:sz w:val="26"/>
          <w:szCs w:val="26"/>
        </w:rPr>
        <w:t>, the Living River Trust secured a</w:t>
      </w:r>
      <w:r w:rsidR="00C6201D">
        <w:rPr>
          <w:color w:val="000000"/>
          <w:sz w:val="26"/>
          <w:szCs w:val="26"/>
        </w:rPr>
        <w:t>n</w:t>
      </w:r>
      <w:r w:rsidRPr="00DF0BE0">
        <w:rPr>
          <w:color w:val="000000"/>
          <w:sz w:val="26"/>
          <w:szCs w:val="26"/>
        </w:rPr>
        <w:t xml:space="preserve"> </w:t>
      </w:r>
      <w:r w:rsidR="00C6201D">
        <w:rPr>
          <w:color w:val="000000"/>
          <w:sz w:val="26"/>
          <w:szCs w:val="26"/>
        </w:rPr>
        <w:t>Open Space Lands Preservation</w:t>
      </w:r>
      <w:r w:rsidR="00C6201D" w:rsidRPr="00DF0BE0">
        <w:rPr>
          <w:color w:val="000000"/>
          <w:sz w:val="26"/>
          <w:szCs w:val="26"/>
        </w:rPr>
        <w:t xml:space="preserve"> Trust</w:t>
      </w:r>
      <w:r w:rsidRPr="00DF0BE0">
        <w:rPr>
          <w:color w:val="000000"/>
          <w:sz w:val="26"/>
          <w:szCs w:val="26"/>
        </w:rPr>
        <w:t xml:space="preserve"> Fund</w:t>
      </w:r>
      <w:r w:rsidR="00C6201D">
        <w:rPr>
          <w:color w:val="000000"/>
          <w:sz w:val="26"/>
          <w:szCs w:val="26"/>
        </w:rPr>
        <w:t xml:space="preserve"> Public Access</w:t>
      </w:r>
      <w:r w:rsidRPr="00DF0BE0">
        <w:rPr>
          <w:color w:val="000000"/>
          <w:sz w:val="26"/>
          <w:szCs w:val="26"/>
        </w:rPr>
        <w:t xml:space="preserve"> grant from the Virginia Outdoors Foundation to cover technical assistance </w:t>
      </w:r>
      <w:r w:rsidR="00C6201D">
        <w:rPr>
          <w:color w:val="000000"/>
          <w:sz w:val="26"/>
          <w:szCs w:val="26"/>
        </w:rPr>
        <w:t xml:space="preserve">costs </w:t>
      </w:r>
      <w:r w:rsidRPr="00DF0BE0">
        <w:rPr>
          <w:color w:val="000000"/>
          <w:sz w:val="26"/>
          <w:szCs w:val="26"/>
        </w:rPr>
        <w:t>to allow the property to be sold and dedicated to public use</w:t>
      </w:r>
      <w:r w:rsidR="00096074">
        <w:rPr>
          <w:color w:val="000000"/>
          <w:sz w:val="26"/>
          <w:szCs w:val="26"/>
        </w:rPr>
        <w:t>.</w:t>
      </w:r>
    </w:p>
    <w:p w14:paraId="17C608F0" w14:textId="23519510" w:rsidR="00096074" w:rsidRDefault="00096074" w:rsidP="00005F38">
      <w:pPr>
        <w:ind w:firstLine="720"/>
        <w:jc w:val="both"/>
        <w:rPr>
          <w:color w:val="000000"/>
          <w:sz w:val="26"/>
          <w:szCs w:val="26"/>
        </w:rPr>
      </w:pPr>
    </w:p>
    <w:p w14:paraId="58BEAA65" w14:textId="79C6049F" w:rsidR="00727011" w:rsidRDefault="000E7272" w:rsidP="00005F38">
      <w:pPr>
        <w:ind w:firstLine="720"/>
        <w:jc w:val="both"/>
        <w:rPr>
          <w:color w:val="000000"/>
          <w:sz w:val="26"/>
          <w:szCs w:val="26"/>
        </w:rPr>
      </w:pPr>
      <w:r>
        <w:rPr>
          <w:color w:val="000000"/>
          <w:sz w:val="26"/>
          <w:szCs w:val="26"/>
        </w:rPr>
        <w:t>A year of work and research by all partners came to fruition earlier this month as the City of Chesapeake formalized its acceptance of the property.</w:t>
      </w:r>
      <w:r w:rsidRPr="00DF0BE0">
        <w:rPr>
          <w:color w:val="000000"/>
          <w:sz w:val="26"/>
          <w:szCs w:val="26"/>
        </w:rPr>
        <w:t xml:space="preserve"> </w:t>
      </w:r>
      <w:r w:rsidR="00005F38">
        <w:rPr>
          <w:color w:val="000000"/>
          <w:sz w:val="26"/>
          <w:szCs w:val="26"/>
        </w:rPr>
        <w:t xml:space="preserve">  As the Chair of the Living River Trust, Mary Ann Saunders, put it; “This is a huge win for conservation and the community”.  LRT is grateful to have led and facilitated the partnership and plans to use this model elsewhere to protect these rare and environmentally important lands in the region.</w:t>
      </w:r>
    </w:p>
    <w:p w14:paraId="3CAC3AED" w14:textId="365D76FB" w:rsidR="00005F38" w:rsidRDefault="00005F38" w:rsidP="00005F38">
      <w:pPr>
        <w:ind w:firstLine="720"/>
        <w:jc w:val="both"/>
        <w:rPr>
          <w:color w:val="000000"/>
          <w:sz w:val="26"/>
          <w:szCs w:val="26"/>
        </w:rPr>
      </w:pPr>
    </w:p>
    <w:p w14:paraId="3AAA4FB4" w14:textId="32C08209" w:rsidR="00005F38" w:rsidRDefault="00005F38" w:rsidP="00005F38">
      <w:pPr>
        <w:ind w:firstLine="720"/>
        <w:jc w:val="both"/>
        <w:rPr>
          <w:color w:val="000000"/>
          <w:sz w:val="26"/>
          <w:szCs w:val="26"/>
        </w:rPr>
      </w:pPr>
    </w:p>
    <w:p w14:paraId="1E495E5A" w14:textId="7FB55651" w:rsidR="00005F38" w:rsidRDefault="00005F38" w:rsidP="00005F38">
      <w:pPr>
        <w:ind w:firstLine="720"/>
        <w:jc w:val="both"/>
        <w:rPr>
          <w:color w:val="000000"/>
          <w:sz w:val="26"/>
          <w:szCs w:val="26"/>
        </w:rPr>
      </w:pPr>
    </w:p>
    <w:p w14:paraId="3099EA9D" w14:textId="570348AF" w:rsidR="00005F38" w:rsidRPr="00DF0BE0" w:rsidRDefault="00005F38" w:rsidP="00005F38">
      <w:pPr>
        <w:jc w:val="both"/>
        <w:rPr>
          <w:color w:val="000000"/>
          <w:sz w:val="26"/>
          <w:szCs w:val="26"/>
        </w:rPr>
      </w:pPr>
    </w:p>
    <w:p w14:paraId="259BBFBB" w14:textId="77777777" w:rsidR="00727011" w:rsidRPr="00DF0BE0" w:rsidRDefault="00727011" w:rsidP="00727011">
      <w:pPr>
        <w:rPr>
          <w:color w:val="000000"/>
          <w:sz w:val="26"/>
          <w:szCs w:val="26"/>
        </w:rPr>
      </w:pPr>
    </w:p>
    <w:p w14:paraId="3DD8CFF7" w14:textId="2DEDD890" w:rsidR="00FB527E" w:rsidRDefault="00C56537" w:rsidP="00576AF2">
      <w:pPr>
        <w:rPr>
          <w:color w:val="000000" w:themeColor="text1"/>
          <w:sz w:val="26"/>
          <w:szCs w:val="26"/>
        </w:rPr>
      </w:pPr>
      <w:r>
        <w:rPr>
          <w:color w:val="000000" w:themeColor="text1"/>
          <w:sz w:val="26"/>
          <w:szCs w:val="26"/>
        </w:rPr>
        <w:t xml:space="preserve"> </w:t>
      </w:r>
      <w:r w:rsidR="00C6201D">
        <w:rPr>
          <w:noProof/>
          <w:color w:val="000000"/>
          <w:sz w:val="26"/>
          <w:szCs w:val="26"/>
        </w:rPr>
        <w:drawing>
          <wp:inline distT="0" distB="0" distL="0" distR="0" wp14:anchorId="1FEF0C52" wp14:editId="4AA16D60">
            <wp:extent cx="5943600" cy="3962400"/>
            <wp:effectExtent l="0" t="0" r="0" b="0"/>
            <wp:docPr id="2" name="Picture 2" descr="A body of water with trees in the back&#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ody of water with trees in the back&#10;&#10;Description automatically generated with medium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3962400"/>
                    </a:xfrm>
                    <a:prstGeom prst="rect">
                      <a:avLst/>
                    </a:prstGeom>
                  </pic:spPr>
                </pic:pic>
              </a:graphicData>
            </a:graphic>
          </wp:inline>
        </w:drawing>
      </w:r>
    </w:p>
    <w:p w14:paraId="1899DA3E" w14:textId="61562C67" w:rsidR="00C6201D" w:rsidRDefault="00C6201D" w:rsidP="00576AF2">
      <w:pPr>
        <w:rPr>
          <w:color w:val="000000" w:themeColor="text1"/>
          <w:sz w:val="26"/>
          <w:szCs w:val="26"/>
        </w:rPr>
      </w:pPr>
    </w:p>
    <w:p w14:paraId="41F247E1" w14:textId="58AC6BDE" w:rsidR="00C6201D" w:rsidRDefault="00C6201D" w:rsidP="00576AF2">
      <w:pPr>
        <w:rPr>
          <w:color w:val="000000" w:themeColor="text1"/>
          <w:sz w:val="26"/>
          <w:szCs w:val="26"/>
        </w:rPr>
      </w:pPr>
      <w:r>
        <w:rPr>
          <w:color w:val="000000" w:themeColor="text1"/>
          <w:sz w:val="26"/>
          <w:szCs w:val="26"/>
        </w:rPr>
        <w:t>Newton Neck from the Southern Branch of the Elizabeth River.  Photo by Mary Bennett.</w:t>
      </w:r>
    </w:p>
    <w:sectPr w:rsidR="00C6201D" w:rsidSect="00D67232">
      <w:footerReference w:type="default" r:id="rId10"/>
      <w:pgSz w:w="12240" w:h="15840"/>
      <w:pgMar w:top="1440" w:right="1440" w:bottom="108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97118" w14:textId="77777777" w:rsidR="00E21662" w:rsidRDefault="00E21662" w:rsidP="00072CD7">
      <w:r>
        <w:separator/>
      </w:r>
    </w:p>
  </w:endnote>
  <w:endnote w:type="continuationSeparator" w:id="0">
    <w:p w14:paraId="46DDC0E2" w14:textId="77777777" w:rsidR="00E21662" w:rsidRDefault="00E21662" w:rsidP="00072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8102178"/>
      <w:docPartObj>
        <w:docPartGallery w:val="Page Numbers (Bottom of Page)"/>
        <w:docPartUnique/>
      </w:docPartObj>
    </w:sdtPr>
    <w:sdtEndPr>
      <w:rPr>
        <w:noProof/>
      </w:rPr>
    </w:sdtEndPr>
    <w:sdtContent>
      <w:p w14:paraId="03182735" w14:textId="5D6BCE7C" w:rsidR="00D2464C" w:rsidRDefault="00D2464C">
        <w:pPr>
          <w:pStyle w:val="Footer"/>
          <w:jc w:val="right"/>
        </w:pPr>
        <w:r>
          <w:fldChar w:fldCharType="begin"/>
        </w:r>
        <w:r>
          <w:instrText xml:space="preserve"> PAGE   \* MERGEFORMAT </w:instrText>
        </w:r>
        <w:r>
          <w:fldChar w:fldCharType="separate"/>
        </w:r>
        <w:r w:rsidR="00E82E3B">
          <w:rPr>
            <w:noProof/>
          </w:rPr>
          <w:t>1</w:t>
        </w:r>
        <w:r>
          <w:rPr>
            <w:noProof/>
          </w:rPr>
          <w:fldChar w:fldCharType="end"/>
        </w:r>
      </w:p>
    </w:sdtContent>
  </w:sdt>
  <w:p w14:paraId="08703C17" w14:textId="650493FF" w:rsidR="00072CD7" w:rsidRDefault="00072C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33767" w14:textId="77777777" w:rsidR="00E21662" w:rsidRDefault="00E21662" w:rsidP="00072CD7">
      <w:r>
        <w:separator/>
      </w:r>
    </w:p>
  </w:footnote>
  <w:footnote w:type="continuationSeparator" w:id="0">
    <w:p w14:paraId="53974985" w14:textId="77777777" w:rsidR="00E21662" w:rsidRDefault="00E21662" w:rsidP="00072C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44EF0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E0E7CC5"/>
    <w:multiLevelType w:val="singleLevel"/>
    <w:tmpl w:val="B5E80676"/>
    <w:lvl w:ilvl="0">
      <w:numFmt w:val="bullet"/>
      <w:lvlText w:val=""/>
      <w:lvlJc w:val="left"/>
      <w:pPr>
        <w:tabs>
          <w:tab w:val="num" w:pos="1080"/>
        </w:tabs>
        <w:ind w:left="1080" w:hanging="360"/>
      </w:pPr>
      <w:rPr>
        <w:rFonts w:ascii="Wingdings" w:hAnsi="Wingdings" w:hint="default"/>
      </w:rPr>
    </w:lvl>
  </w:abstractNum>
  <w:abstractNum w:abstractNumId="2" w15:restartNumberingAfterBreak="0">
    <w:nsid w:val="68A71DF4"/>
    <w:multiLevelType w:val="hybridMultilevel"/>
    <w:tmpl w:val="67B04AE0"/>
    <w:lvl w:ilvl="0" w:tplc="80FE2F0A">
      <w:start w:val="1"/>
      <w:numFmt w:val="decimal"/>
      <w:lvlText w:val="%1."/>
      <w:lvlJc w:val="left"/>
      <w:pPr>
        <w:ind w:left="1080" w:hanging="360"/>
      </w:pPr>
      <w:rPr>
        <w:rFonts w:ascii="Times New Roman" w:hAnsi="Times New Roman" w:cs="Times New Roman" w:hint="default"/>
        <w:b w:val="0"/>
      </w:rPr>
    </w:lvl>
    <w:lvl w:ilvl="1" w:tplc="EC285C8C" w:tentative="1">
      <w:start w:val="1"/>
      <w:numFmt w:val="lowerLetter"/>
      <w:lvlText w:val="%2."/>
      <w:lvlJc w:val="left"/>
      <w:pPr>
        <w:ind w:left="1800" w:hanging="360"/>
      </w:pPr>
      <w:rPr>
        <w:rFonts w:cs="Times New Roman"/>
      </w:rPr>
    </w:lvl>
    <w:lvl w:ilvl="2" w:tplc="E1CE3CA8" w:tentative="1">
      <w:start w:val="1"/>
      <w:numFmt w:val="lowerRoman"/>
      <w:lvlText w:val="%3."/>
      <w:lvlJc w:val="right"/>
      <w:pPr>
        <w:ind w:left="2520" w:hanging="180"/>
      </w:pPr>
      <w:rPr>
        <w:rFonts w:cs="Times New Roman"/>
      </w:rPr>
    </w:lvl>
    <w:lvl w:ilvl="3" w:tplc="68028D06" w:tentative="1">
      <w:start w:val="1"/>
      <w:numFmt w:val="decimal"/>
      <w:lvlText w:val="%4."/>
      <w:lvlJc w:val="left"/>
      <w:pPr>
        <w:ind w:left="3240" w:hanging="360"/>
      </w:pPr>
      <w:rPr>
        <w:rFonts w:cs="Times New Roman"/>
      </w:rPr>
    </w:lvl>
    <w:lvl w:ilvl="4" w:tplc="BEFAFFC6" w:tentative="1">
      <w:start w:val="1"/>
      <w:numFmt w:val="lowerLetter"/>
      <w:lvlText w:val="%5."/>
      <w:lvlJc w:val="left"/>
      <w:pPr>
        <w:ind w:left="3960" w:hanging="360"/>
      </w:pPr>
      <w:rPr>
        <w:rFonts w:cs="Times New Roman"/>
      </w:rPr>
    </w:lvl>
    <w:lvl w:ilvl="5" w:tplc="DCBEE012" w:tentative="1">
      <w:start w:val="1"/>
      <w:numFmt w:val="lowerRoman"/>
      <w:lvlText w:val="%6."/>
      <w:lvlJc w:val="right"/>
      <w:pPr>
        <w:ind w:left="4680" w:hanging="180"/>
      </w:pPr>
      <w:rPr>
        <w:rFonts w:cs="Times New Roman"/>
      </w:rPr>
    </w:lvl>
    <w:lvl w:ilvl="6" w:tplc="AD58871C" w:tentative="1">
      <w:start w:val="1"/>
      <w:numFmt w:val="decimal"/>
      <w:lvlText w:val="%7."/>
      <w:lvlJc w:val="left"/>
      <w:pPr>
        <w:ind w:left="5400" w:hanging="360"/>
      </w:pPr>
      <w:rPr>
        <w:rFonts w:cs="Times New Roman"/>
      </w:rPr>
    </w:lvl>
    <w:lvl w:ilvl="7" w:tplc="B94E727A" w:tentative="1">
      <w:start w:val="1"/>
      <w:numFmt w:val="lowerLetter"/>
      <w:lvlText w:val="%8."/>
      <w:lvlJc w:val="left"/>
      <w:pPr>
        <w:ind w:left="6120" w:hanging="360"/>
      </w:pPr>
      <w:rPr>
        <w:rFonts w:cs="Times New Roman"/>
      </w:rPr>
    </w:lvl>
    <w:lvl w:ilvl="8" w:tplc="31E6BF66" w:tentative="1">
      <w:start w:val="1"/>
      <w:numFmt w:val="lowerRoman"/>
      <w:lvlText w:val="%9."/>
      <w:lvlJc w:val="right"/>
      <w:pPr>
        <w:ind w:left="6840" w:hanging="18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F56"/>
    <w:rsid w:val="00005F38"/>
    <w:rsid w:val="00012372"/>
    <w:rsid w:val="00053F0E"/>
    <w:rsid w:val="0006148F"/>
    <w:rsid w:val="0006252A"/>
    <w:rsid w:val="00063453"/>
    <w:rsid w:val="00072CD7"/>
    <w:rsid w:val="0008404E"/>
    <w:rsid w:val="00096074"/>
    <w:rsid w:val="00097895"/>
    <w:rsid w:val="000C21E8"/>
    <w:rsid w:val="000E7272"/>
    <w:rsid w:val="000F5237"/>
    <w:rsid w:val="001269A7"/>
    <w:rsid w:val="00142EA8"/>
    <w:rsid w:val="00186BF4"/>
    <w:rsid w:val="001939D2"/>
    <w:rsid w:val="001A5335"/>
    <w:rsid w:val="001E18D0"/>
    <w:rsid w:val="001E3AC6"/>
    <w:rsid w:val="001F5958"/>
    <w:rsid w:val="002018EB"/>
    <w:rsid w:val="00211B36"/>
    <w:rsid w:val="00215F4C"/>
    <w:rsid w:val="00230C55"/>
    <w:rsid w:val="00252257"/>
    <w:rsid w:val="00291EAE"/>
    <w:rsid w:val="002D73F7"/>
    <w:rsid w:val="002F1C58"/>
    <w:rsid w:val="003042C2"/>
    <w:rsid w:val="00314699"/>
    <w:rsid w:val="00326F5A"/>
    <w:rsid w:val="00340E63"/>
    <w:rsid w:val="00342B58"/>
    <w:rsid w:val="00351CED"/>
    <w:rsid w:val="003800A4"/>
    <w:rsid w:val="003A1FCF"/>
    <w:rsid w:val="003A1FDB"/>
    <w:rsid w:val="003A5817"/>
    <w:rsid w:val="003B1E27"/>
    <w:rsid w:val="003B70FF"/>
    <w:rsid w:val="00424D4A"/>
    <w:rsid w:val="00432B0D"/>
    <w:rsid w:val="004534E3"/>
    <w:rsid w:val="00474406"/>
    <w:rsid w:val="00485194"/>
    <w:rsid w:val="004F5396"/>
    <w:rsid w:val="0051025D"/>
    <w:rsid w:val="00516986"/>
    <w:rsid w:val="005651A6"/>
    <w:rsid w:val="00575360"/>
    <w:rsid w:val="00576AF2"/>
    <w:rsid w:val="00591D44"/>
    <w:rsid w:val="0060043C"/>
    <w:rsid w:val="00630329"/>
    <w:rsid w:val="006B1EAE"/>
    <w:rsid w:val="006B7135"/>
    <w:rsid w:val="006D161D"/>
    <w:rsid w:val="006F26F0"/>
    <w:rsid w:val="0071614D"/>
    <w:rsid w:val="00727011"/>
    <w:rsid w:val="0075143D"/>
    <w:rsid w:val="00752526"/>
    <w:rsid w:val="00765198"/>
    <w:rsid w:val="00775EC6"/>
    <w:rsid w:val="007A6165"/>
    <w:rsid w:val="007C2EC4"/>
    <w:rsid w:val="007D1154"/>
    <w:rsid w:val="00804DCC"/>
    <w:rsid w:val="008A2D28"/>
    <w:rsid w:val="008D741E"/>
    <w:rsid w:val="008F0827"/>
    <w:rsid w:val="00906340"/>
    <w:rsid w:val="0094240D"/>
    <w:rsid w:val="00946CE0"/>
    <w:rsid w:val="00946D33"/>
    <w:rsid w:val="00983730"/>
    <w:rsid w:val="009A5927"/>
    <w:rsid w:val="00A06B05"/>
    <w:rsid w:val="00A70857"/>
    <w:rsid w:val="00AA1429"/>
    <w:rsid w:val="00AA4A75"/>
    <w:rsid w:val="00AB0858"/>
    <w:rsid w:val="00AD15C6"/>
    <w:rsid w:val="00AE6D64"/>
    <w:rsid w:val="00B1546A"/>
    <w:rsid w:val="00B17745"/>
    <w:rsid w:val="00B553DB"/>
    <w:rsid w:val="00B67C94"/>
    <w:rsid w:val="00B77C22"/>
    <w:rsid w:val="00B80B10"/>
    <w:rsid w:val="00B82BFE"/>
    <w:rsid w:val="00BA3F56"/>
    <w:rsid w:val="00BA480E"/>
    <w:rsid w:val="00BC681F"/>
    <w:rsid w:val="00BD16BB"/>
    <w:rsid w:val="00BE2EFF"/>
    <w:rsid w:val="00C04931"/>
    <w:rsid w:val="00C34B51"/>
    <w:rsid w:val="00C56537"/>
    <w:rsid w:val="00C6117D"/>
    <w:rsid w:val="00C6201D"/>
    <w:rsid w:val="00C81DFA"/>
    <w:rsid w:val="00C9689D"/>
    <w:rsid w:val="00CC531C"/>
    <w:rsid w:val="00CE483F"/>
    <w:rsid w:val="00D203BC"/>
    <w:rsid w:val="00D2464C"/>
    <w:rsid w:val="00D33756"/>
    <w:rsid w:val="00D82B26"/>
    <w:rsid w:val="00D84269"/>
    <w:rsid w:val="00DA22C2"/>
    <w:rsid w:val="00DC4C75"/>
    <w:rsid w:val="00DE49CD"/>
    <w:rsid w:val="00DE4A60"/>
    <w:rsid w:val="00DF0BE0"/>
    <w:rsid w:val="00E12BA1"/>
    <w:rsid w:val="00E21662"/>
    <w:rsid w:val="00E6214C"/>
    <w:rsid w:val="00E75159"/>
    <w:rsid w:val="00E82E3B"/>
    <w:rsid w:val="00EC6CCB"/>
    <w:rsid w:val="00EF48E7"/>
    <w:rsid w:val="00F001E2"/>
    <w:rsid w:val="00F032B7"/>
    <w:rsid w:val="00F364FF"/>
    <w:rsid w:val="00FB527E"/>
    <w:rsid w:val="00FE3D0B"/>
    <w:rsid w:val="00FE4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25352A"/>
  <w15:docId w15:val="{A651C60F-7799-49C0-8A20-383291C6A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1DF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CD61A2"/>
    <w:rPr>
      <w:rFonts w:ascii="Tahoma" w:hAnsi="Tahoma" w:cs="Tahoma"/>
      <w:sz w:val="16"/>
      <w:szCs w:val="16"/>
    </w:rPr>
  </w:style>
  <w:style w:type="character" w:customStyle="1" w:styleId="BalloonTextChar">
    <w:name w:val="Balloon Text Char"/>
    <w:basedOn w:val="DefaultParagraphFont"/>
    <w:link w:val="BalloonText"/>
    <w:rsid w:val="00CD61A2"/>
    <w:rPr>
      <w:rFonts w:ascii="Tahoma" w:hAnsi="Tahoma" w:cs="Tahoma"/>
      <w:sz w:val="16"/>
      <w:szCs w:val="16"/>
    </w:rPr>
  </w:style>
  <w:style w:type="paragraph" w:styleId="BodyTextIndent">
    <w:name w:val="Body Text Indent"/>
    <w:basedOn w:val="Normal"/>
    <w:link w:val="BodyTextIndentChar"/>
    <w:rsid w:val="00E57F1E"/>
    <w:pPr>
      <w:autoSpaceDE w:val="0"/>
      <w:autoSpaceDN w:val="0"/>
      <w:adjustRightInd w:val="0"/>
      <w:ind w:left="-360"/>
    </w:pPr>
  </w:style>
  <w:style w:type="character" w:customStyle="1" w:styleId="BodyTextIndentChar">
    <w:name w:val="Body Text Indent Char"/>
    <w:basedOn w:val="DefaultParagraphFont"/>
    <w:link w:val="BodyTextIndent"/>
    <w:rsid w:val="00E57F1E"/>
    <w:rPr>
      <w:sz w:val="24"/>
      <w:szCs w:val="24"/>
    </w:rPr>
  </w:style>
  <w:style w:type="paragraph" w:styleId="Header">
    <w:name w:val="header"/>
    <w:basedOn w:val="Normal"/>
    <w:link w:val="HeaderChar"/>
    <w:unhideWhenUsed/>
    <w:rsid w:val="00072CD7"/>
    <w:pPr>
      <w:tabs>
        <w:tab w:val="center" w:pos="4680"/>
        <w:tab w:val="right" w:pos="9360"/>
      </w:tabs>
    </w:pPr>
  </w:style>
  <w:style w:type="character" w:customStyle="1" w:styleId="HeaderChar">
    <w:name w:val="Header Char"/>
    <w:basedOn w:val="DefaultParagraphFont"/>
    <w:link w:val="Header"/>
    <w:rsid w:val="00072CD7"/>
    <w:rPr>
      <w:sz w:val="24"/>
      <w:szCs w:val="24"/>
    </w:rPr>
  </w:style>
  <w:style w:type="paragraph" w:styleId="Footer">
    <w:name w:val="footer"/>
    <w:basedOn w:val="Normal"/>
    <w:link w:val="FooterChar"/>
    <w:uiPriority w:val="99"/>
    <w:unhideWhenUsed/>
    <w:rsid w:val="00072CD7"/>
    <w:pPr>
      <w:tabs>
        <w:tab w:val="center" w:pos="4680"/>
        <w:tab w:val="right" w:pos="9360"/>
      </w:tabs>
    </w:pPr>
  </w:style>
  <w:style w:type="character" w:customStyle="1" w:styleId="FooterChar">
    <w:name w:val="Footer Char"/>
    <w:basedOn w:val="DefaultParagraphFont"/>
    <w:link w:val="Footer"/>
    <w:uiPriority w:val="99"/>
    <w:rsid w:val="00072CD7"/>
    <w:rPr>
      <w:sz w:val="24"/>
      <w:szCs w:val="24"/>
    </w:rPr>
  </w:style>
  <w:style w:type="character" w:styleId="Hyperlink">
    <w:name w:val="Hyperlink"/>
    <w:basedOn w:val="DefaultParagraphFont"/>
    <w:uiPriority w:val="99"/>
    <w:unhideWhenUsed/>
    <w:rsid w:val="00630329"/>
    <w:rPr>
      <w:color w:val="0563C1"/>
      <w:u w:val="single"/>
    </w:rPr>
  </w:style>
  <w:style w:type="character" w:styleId="UnresolvedMention">
    <w:name w:val="Unresolved Mention"/>
    <w:basedOn w:val="DefaultParagraphFont"/>
    <w:uiPriority w:val="99"/>
    <w:semiHidden/>
    <w:unhideWhenUsed/>
    <w:rsid w:val="00005F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9933969">
      <w:bodyDiv w:val="1"/>
      <w:marLeft w:val="0"/>
      <w:marRight w:val="0"/>
      <w:marTop w:val="0"/>
      <w:marBottom w:val="0"/>
      <w:divBdr>
        <w:top w:val="none" w:sz="0" w:space="0" w:color="auto"/>
        <w:left w:val="none" w:sz="0" w:space="0" w:color="auto"/>
        <w:bottom w:val="none" w:sz="0" w:space="0" w:color="auto"/>
        <w:right w:val="none" w:sz="0" w:space="0" w:color="auto"/>
      </w:divBdr>
    </w:div>
    <w:div w:id="1841845376">
      <w:bodyDiv w:val="1"/>
      <w:marLeft w:val="0"/>
      <w:marRight w:val="0"/>
      <w:marTop w:val="0"/>
      <w:marBottom w:val="0"/>
      <w:divBdr>
        <w:top w:val="none" w:sz="0" w:space="0" w:color="auto"/>
        <w:left w:val="none" w:sz="0" w:space="0" w:color="auto"/>
        <w:bottom w:val="none" w:sz="0" w:space="0" w:color="auto"/>
        <w:right w:val="none" w:sz="0" w:space="0" w:color="auto"/>
      </w:divBdr>
    </w:div>
    <w:div w:id="1900247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zfriel@livingrivertrust.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464</Words>
  <Characters>2646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August 2, 2000</vt:lpstr>
    </vt:vector>
  </TitlesOfParts>
  <Company>Elizabeth River Project</Company>
  <LinksUpToDate>false</LinksUpToDate>
  <CharactersWithSpaces>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2, 2000</dc:title>
  <dc:creator>pboatwright</dc:creator>
  <cp:lastModifiedBy>Liz Friel</cp:lastModifiedBy>
  <cp:revision>4</cp:revision>
  <cp:lastPrinted>2022-01-25T15:56:00Z</cp:lastPrinted>
  <dcterms:created xsi:type="dcterms:W3CDTF">2022-02-16T14:50:00Z</dcterms:created>
  <dcterms:modified xsi:type="dcterms:W3CDTF">2022-02-16T15:18:00Z</dcterms:modified>
</cp:coreProperties>
</file>